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31C83A4F"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EB7C3B">
        <w:rPr>
          <w:rFonts w:ascii="Calibri" w:hAnsi="Calibri" w:cs="Arial"/>
          <w:b/>
          <w:szCs w:val="32"/>
        </w:rPr>
        <w:t>Parkoviště v Sídlišti 6.května Zubří – u MK před MŠ a u areálu MA</w:t>
      </w:r>
      <w:r w:rsidRPr="001B6122">
        <w:rPr>
          <w:rFonts w:ascii="Calibri" w:hAnsi="Calibri" w:cs="Arial"/>
          <w:b/>
          <w:szCs w:val="3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105546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33D71" w14:textId="77777777" w:rsidR="00105546" w:rsidRDefault="00105546" w:rsidP="000F651A">
      <w:pPr>
        <w:spacing w:after="0" w:line="240" w:lineRule="auto"/>
      </w:pPr>
      <w:r>
        <w:separator/>
      </w:r>
    </w:p>
  </w:endnote>
  <w:endnote w:type="continuationSeparator" w:id="0">
    <w:p w14:paraId="1A8F3FFD" w14:textId="77777777" w:rsidR="00105546" w:rsidRDefault="00105546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0179C" w14:textId="77777777" w:rsidR="00105546" w:rsidRDefault="00105546" w:rsidP="000F651A">
      <w:pPr>
        <w:spacing w:after="0" w:line="240" w:lineRule="auto"/>
      </w:pPr>
      <w:r>
        <w:separator/>
      </w:r>
    </w:p>
  </w:footnote>
  <w:footnote w:type="continuationSeparator" w:id="0">
    <w:p w14:paraId="575C2861" w14:textId="77777777" w:rsidR="00105546" w:rsidRDefault="00105546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05546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00E3C"/>
    <w:rsid w:val="004E6CB0"/>
    <w:rsid w:val="004F3E47"/>
    <w:rsid w:val="00573044"/>
    <w:rsid w:val="005F48BC"/>
    <w:rsid w:val="006427A8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3109A"/>
    <w:rsid w:val="0098349F"/>
    <w:rsid w:val="009C3064"/>
    <w:rsid w:val="009C487D"/>
    <w:rsid w:val="009D0A4B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EB7C3B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43</cp:revision>
  <cp:lastPrinted>2017-03-23T09:39:00Z</cp:lastPrinted>
  <dcterms:created xsi:type="dcterms:W3CDTF">2016-12-02T15:56:00Z</dcterms:created>
  <dcterms:modified xsi:type="dcterms:W3CDTF">2024-03-27T10:00:00Z</dcterms:modified>
</cp:coreProperties>
</file>